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71BF9141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="002756D6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18079F">
        <w:rPr>
          <w:rFonts w:ascii="Arial" w:hAnsi="Arial" w:cs="Arial"/>
          <w:b/>
          <w:color w:val="auto"/>
          <w:sz w:val="24"/>
          <w:szCs w:val="24"/>
        </w:rPr>
        <w:t>2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155E0101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</w:t>
            </w:r>
            <w:r w:rsidR="00B20937">
              <w:rPr>
                <w:rFonts w:ascii="Arial" w:hAnsi="Arial" w:cs="Arial"/>
              </w:rPr>
              <w:t xml:space="preserve"> i </w:t>
            </w:r>
            <w:r w:rsidRPr="00F271C5">
              <w:rPr>
                <w:rFonts w:ascii="Arial" w:hAnsi="Arial" w:cs="Arial"/>
              </w:rPr>
              <w:t xml:space="preserve">Dziedzictwa Narodowego 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10 914 058,88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9 898 651,78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1C55E97C" w:rsidR="00E3697A" w:rsidRPr="00A34C2A" w:rsidRDefault="00B25940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67</w:t>
            </w:r>
            <w:r w:rsidR="00065F2A" w:rsidRPr="00A34C2A">
              <w:rPr>
                <w:rFonts w:ascii="Arial" w:hAnsi="Arial" w:cs="Arial"/>
                <w:sz w:val="18"/>
                <w:szCs w:val="20"/>
              </w:rPr>
              <w:t>,00</w:t>
            </w:r>
            <w:r w:rsidR="009A4FF8" w:rsidRPr="00A34C2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4205DED9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A34C2A" w:rsidRPr="00A34C2A">
              <w:rPr>
                <w:rFonts w:ascii="Arial" w:hAnsi="Arial" w:cs="Arial"/>
                <w:sz w:val="18"/>
                <w:szCs w:val="20"/>
              </w:rPr>
              <w:t>3</w:t>
            </w:r>
            <w:r w:rsidR="002F18A7">
              <w:rPr>
                <w:rFonts w:ascii="Arial" w:hAnsi="Arial" w:cs="Arial"/>
                <w:sz w:val="18"/>
                <w:szCs w:val="20"/>
              </w:rPr>
              <w:t>7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3A4131AD" w:rsidR="00720724" w:rsidRPr="00A34C2A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2.    </w:t>
            </w:r>
            <w:r w:rsidR="003A6A3B">
              <w:rPr>
                <w:rFonts w:ascii="Arial" w:hAnsi="Arial" w:cs="Arial"/>
                <w:sz w:val="18"/>
                <w:szCs w:val="20"/>
              </w:rPr>
              <w:t>35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DC11C93" w14:textId="0547BE74" w:rsidR="00720724" w:rsidRPr="00A34C2A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3.    </w:t>
            </w:r>
            <w:commentRangeStart w:id="0"/>
            <w:commentRangeStart w:id="1"/>
            <w:r w:rsidR="007E788E">
              <w:rPr>
                <w:rFonts w:ascii="Arial" w:hAnsi="Arial" w:cs="Arial"/>
                <w:sz w:val="18"/>
                <w:szCs w:val="20"/>
              </w:rPr>
              <w:t>3</w:t>
            </w:r>
            <w:r w:rsidR="002F18A7">
              <w:rPr>
                <w:rFonts w:ascii="Arial" w:hAnsi="Arial" w:cs="Arial"/>
                <w:sz w:val="18"/>
                <w:szCs w:val="20"/>
              </w:rPr>
              <w:t>1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  <w:commentRangeEnd w:id="0"/>
            <w:r w:rsidR="00A46409">
              <w:rPr>
                <w:rStyle w:val="Odwoaniedokomentarza"/>
              </w:rPr>
              <w:commentReference w:id="0"/>
            </w:r>
            <w:commentRangeEnd w:id="1"/>
            <w:r w:rsidR="00FD4D98">
              <w:rPr>
                <w:rStyle w:val="Odwoaniedokomentarza"/>
              </w:rPr>
              <w:commentReference w:id="1"/>
            </w:r>
          </w:p>
        </w:tc>
        <w:tc>
          <w:tcPr>
            <w:tcW w:w="3402" w:type="dxa"/>
          </w:tcPr>
          <w:p w14:paraId="54720FCA" w14:textId="5AAA843C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commentRangeStart w:id="2"/>
            <w:commentRangeStart w:id="3"/>
            <w:r w:rsidR="00A85696">
              <w:rPr>
                <w:rFonts w:ascii="Arial" w:hAnsi="Arial" w:cs="Arial"/>
                <w:sz w:val="18"/>
                <w:szCs w:val="20"/>
              </w:rPr>
              <w:t>5</w:t>
            </w:r>
            <w:r w:rsidR="002F18A7">
              <w:rPr>
                <w:rFonts w:ascii="Arial" w:hAnsi="Arial" w:cs="Arial"/>
                <w:sz w:val="18"/>
                <w:szCs w:val="20"/>
              </w:rPr>
              <w:t>2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  <w:commentRangeEnd w:id="2"/>
            <w:r w:rsidR="00A46409">
              <w:rPr>
                <w:rStyle w:val="Odwoaniedokomentarza"/>
              </w:rPr>
              <w:commentReference w:id="2"/>
            </w:r>
            <w:commentRangeEnd w:id="3"/>
            <w:r w:rsidR="00941C72">
              <w:rPr>
                <w:rStyle w:val="Odwoaniedokomentarza"/>
              </w:rPr>
              <w:commentReference w:id="3"/>
            </w:r>
          </w:p>
          <w:p w14:paraId="36D490CD" w14:textId="51928CE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CC0D61C" w14:textId="3CE2F399" w:rsidR="00A16163" w:rsidRDefault="00A16163" w:rsidP="00A16163"/>
    <w:p w14:paraId="69A7FF22" w14:textId="77777777" w:rsidR="00A16163" w:rsidRPr="00A16163" w:rsidRDefault="00A16163" w:rsidP="00A16163"/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E765CE0" w14:textId="64396E2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78678D">
        <w:trPr>
          <w:trHeight w:val="1887"/>
        </w:trPr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: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Przygotowanie dokumentacji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adaptacji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D41E15A" w14:textId="77777777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Adaptacja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  <w:p w14:paraId="3A247FB9" w14:textId="77777777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4C86C" w14:textId="2544AEC8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77A04724" w:rsidR="003D3D6B" w:rsidRDefault="003D3D6B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3090" w:type="dxa"/>
          </w:tcPr>
          <w:p w14:paraId="7E0E40F6" w14:textId="197438E7" w:rsidR="002604D0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A34C2A">
              <w:rPr>
                <w:rFonts w:ascii="Arial" w:hAnsi="Arial" w:cs="Arial"/>
                <w:sz w:val="18"/>
                <w:szCs w:val="18"/>
              </w:rPr>
              <w:t xml:space="preserve">Osiągnięty : zakończono prace związane z adaptacją pomieszczenia przeznaczonego na </w:t>
            </w:r>
            <w:proofErr w:type="spellStart"/>
            <w:r w:rsidRPr="00A34C2A">
              <w:rPr>
                <w:rFonts w:ascii="Arial" w:hAnsi="Arial" w:cs="Arial"/>
                <w:sz w:val="18"/>
                <w:szCs w:val="18"/>
              </w:rPr>
              <w:t>Ikonotekę</w:t>
            </w:r>
            <w:proofErr w:type="spellEnd"/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9433AB" w14:textId="77777777" w:rsidR="00CB7721" w:rsidRDefault="00E3697A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4926"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realizacji.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AF548D2" w:rsidR="00E3697A" w:rsidRPr="00B20937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="00F10972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-2021</w:t>
            </w:r>
            <w:r w:rsidR="007D5253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45" w:type="dxa"/>
          </w:tcPr>
          <w:p w14:paraId="601D8F70" w14:textId="087A999E" w:rsidR="00E3697A" w:rsidRPr="002F7286" w:rsidRDefault="00A8569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3090" w:type="dxa"/>
            <w:shd w:val="clear" w:color="auto" w:fill="auto"/>
          </w:tcPr>
          <w:p w14:paraId="5AA9F4CF" w14:textId="76A7D529" w:rsidR="00E3697A" w:rsidRPr="008A6230" w:rsidRDefault="00A8569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577D454B" w:rsidR="00E3697A" w:rsidRPr="002F7286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28DE41D4" w:rsidR="00E3697A" w:rsidRPr="002F7286" w:rsidRDefault="007E788E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02-2022</w:t>
            </w:r>
          </w:p>
        </w:tc>
        <w:tc>
          <w:tcPr>
            <w:tcW w:w="3090" w:type="dxa"/>
          </w:tcPr>
          <w:p w14:paraId="16C0AD60" w14:textId="3698B71B" w:rsidR="00E3697A" w:rsidRPr="008A6230" w:rsidRDefault="007E788E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053CAF41" w:rsidR="00E3697A" w:rsidRPr="002F7286" w:rsidRDefault="0091237B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commentRangeStart w:id="4"/>
            <w:commentRangeStart w:id="5"/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  <w:commentRangeEnd w:id="4"/>
            <w:r w:rsidR="00A46409">
              <w:rPr>
                <w:rStyle w:val="Odwoaniedokomentarza"/>
              </w:rPr>
              <w:commentReference w:id="4"/>
            </w:r>
            <w:commentRangeEnd w:id="5"/>
            <w:r w:rsidR="0091237B">
              <w:rPr>
                <w:rStyle w:val="Odwoaniedokomentarza"/>
              </w:rPr>
              <w:commentReference w:id="5"/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3DA0B5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134EC779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652A05" w14:textId="23CF40CC" w:rsidR="00275BBD" w:rsidRPr="00275BBD" w:rsidRDefault="00C9432D" w:rsidP="00275BBD">
      <w:pPr>
        <w:pStyle w:val="Tekstkomentarza"/>
        <w:rPr>
          <w:sz w:val="18"/>
          <w:szCs w:val="18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>Na p</w:t>
      </w:r>
      <w:r w:rsidR="00275BBD">
        <w:rPr>
          <w:rFonts w:ascii="Arial" w:hAnsi="Arial" w:cs="Arial"/>
          <w:bCs/>
          <w:sz w:val="16"/>
          <w:szCs w:val="16"/>
        </w:rPr>
        <w:t>o</w:t>
      </w:r>
      <w:r w:rsidR="00421937">
        <w:rPr>
          <w:rFonts w:ascii="Arial" w:hAnsi="Arial" w:cs="Arial"/>
          <w:bCs/>
          <w:sz w:val="16"/>
          <w:szCs w:val="16"/>
        </w:rPr>
        <w:t xml:space="preserve">dstawie </w:t>
      </w:r>
      <w:r w:rsidR="0078678D">
        <w:rPr>
          <w:rFonts w:ascii="Arial" w:hAnsi="Arial" w:cs="Arial"/>
          <w:bCs/>
          <w:sz w:val="16"/>
          <w:szCs w:val="16"/>
        </w:rPr>
        <w:t>pisma z dnia 14.10.2021r. o sygnaturze CPPC-DEA.63.11.11.98.19/RF oraz pliku o nazwie KM.POPC.02.03.02-00-002719 01.12.2021</w:t>
      </w:r>
    </w:p>
    <w:p w14:paraId="23C212AD" w14:textId="3409D164" w:rsidR="007D5253" w:rsidRPr="00A16163" w:rsidRDefault="007D5253" w:rsidP="00E3697A">
      <w:pPr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p w14:paraId="63EA8BA0" w14:textId="77777777" w:rsidR="00555359" w:rsidRDefault="00555359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E9C630F" w14:textId="490BC753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9D2A29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3. Rozmiar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798D78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4. Liczba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511A94AC" w:rsidR="009D2A29" w:rsidRPr="002F7286" w:rsidRDefault="00F2478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A45CAD2" w14:textId="6C993A9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</w:t>
            </w:r>
            <w:r w:rsidR="00F247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6282E3B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D178FC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6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6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2F728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2F785DA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Ikonoteka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materiałów orkiestrowych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018AEF61" w14:textId="78698FF1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E262AF">
              <w:rPr>
                <w:rFonts w:ascii="Arial" w:hAnsi="Arial" w:cs="Arial"/>
                <w:sz w:val="18"/>
                <w:szCs w:val="18"/>
              </w:rPr>
              <w:t>6</w:t>
            </w:r>
            <w:r w:rsidR="006A2F55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F2168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E9D7B8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62F32EA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535F5F1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05C62C4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</w:t>
            </w:r>
          </w:p>
        </w:tc>
        <w:tc>
          <w:tcPr>
            <w:tcW w:w="1559" w:type="dxa"/>
          </w:tcPr>
          <w:p w14:paraId="138D848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372173C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712728D3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07140E6B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Który stanowi publiczne repozytorium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7A3D53D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</w:tbl>
    <w:p w14:paraId="49130DDC" w14:textId="77777777" w:rsidR="00A70F27" w:rsidRDefault="00A70F27" w:rsidP="00A70F27">
      <w:pPr>
        <w:pStyle w:val="Nagwek3"/>
        <w:spacing w:before="360" w:after="120"/>
        <w:rPr>
          <w:rStyle w:val="Nagwek2Znak"/>
          <w:rFonts w:ascii="Arial" w:hAnsi="Arial" w:cs="Arial"/>
          <w:b/>
          <w:color w:val="auto"/>
        </w:rPr>
      </w:pPr>
    </w:p>
    <w:p w14:paraId="6460B8E0" w14:textId="7E51EF31" w:rsidR="00E3697A" w:rsidRPr="00F21686" w:rsidRDefault="00E3697A" w:rsidP="00A70F27">
      <w:pPr>
        <w:pStyle w:val="Nagwek3"/>
        <w:numPr>
          <w:ilvl w:val="0"/>
          <w:numId w:val="1"/>
        </w:numPr>
        <w:spacing w:before="360" w:after="120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zgodnie z przyjętym harmonogramem, Zakres rzeczowy zostanie </w:t>
            </w:r>
            <w:r w:rsidR="00E3697A">
              <w:rPr>
                <w:rFonts w:ascii="Arial" w:hAnsi="Arial" w:cs="Arial"/>
                <w:sz w:val="18"/>
                <w:szCs w:val="18"/>
              </w:rPr>
              <w:lastRenderedPageBreak/>
              <w:t>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Uzyskanie gwarancji finansowania projektu w po uzyskaniu dofinansowania ze strony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>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zgodna z przyjętym harmonogramem, wydatkowanie środków zgodnie z </w:t>
            </w:r>
            <w:proofErr w:type="spellStart"/>
            <w:r w:rsidR="00E3697A">
              <w:rPr>
                <w:rFonts w:ascii="Arial" w:hAnsi="Arial" w:cs="Arial"/>
                <w:sz w:val="18"/>
                <w:szCs w:val="18"/>
              </w:rPr>
              <w:t>Uo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2F7286">
        <w:rPr>
          <w:rFonts w:ascii="Arial" w:hAnsi="Arial" w:cs="Arial"/>
          <w:sz w:val="18"/>
          <w:szCs w:val="18"/>
        </w:rPr>
        <w:t>Chochół</w:t>
      </w:r>
      <w:proofErr w:type="spellEnd"/>
      <w:r w:rsidRPr="002F7286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12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47007738" w:rsidR="00310608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13" w:history="1">
        <w:r w:rsidR="00275BBD" w:rsidRPr="00275BBD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275BB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559677C7" w14:textId="2731B732" w:rsidR="00275BBD" w:rsidRPr="002F7286" w:rsidRDefault="00275BBD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Kasperkiewicz, dział Poligrafii i Digitalizacji :</w:t>
      </w:r>
      <w:hyperlink r:id="rId14" w:history="1">
        <w:r w:rsidR="00E23AC1" w:rsidRPr="006665D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karolina_kasperkiewicz@pwm.com.pl</w:t>
        </w:r>
      </w:hyperlink>
      <w:r w:rsidR="00E23AC1" w:rsidRPr="006665D3">
        <w:rPr>
          <w:rFonts w:ascii="Arial" w:hAnsi="Arial" w:cs="Arial"/>
          <w:sz w:val="18"/>
          <w:szCs w:val="18"/>
        </w:rPr>
        <w:t xml:space="preserve"> </w:t>
      </w:r>
      <w:r w:rsidR="00E23AC1" w:rsidRPr="00E23AC1">
        <w:rPr>
          <w:rFonts w:ascii="Arial" w:hAnsi="Arial" w:cs="Arial"/>
          <w:sz w:val="18"/>
          <w:szCs w:val="18"/>
        </w:rPr>
        <w:t>12 </w:t>
      </w:r>
      <w:r w:rsidR="00E23AC1">
        <w:rPr>
          <w:rFonts w:ascii="Arial" w:hAnsi="Arial" w:cs="Arial"/>
          <w:sz w:val="18"/>
          <w:szCs w:val="18"/>
        </w:rPr>
        <w:t>422 70 44,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rczmarczyk Sylwia" w:date="2022-07-14T14:46:00Z" w:initials="KS">
    <w:p w14:paraId="1475BBE4" w14:textId="23C31BC4" w:rsidR="00A46409" w:rsidRDefault="00A46409">
      <w:pPr>
        <w:pStyle w:val="Tekstkomentarza"/>
      </w:pPr>
      <w:r>
        <w:rPr>
          <w:rStyle w:val="Odwoaniedokomentarza"/>
        </w:rPr>
        <w:annotationRef/>
      </w:r>
      <w:r w:rsidRPr="00A46409">
        <w:t>W kolumnie „wartość środków wydatkowanych” nieprawidłowo wyka</w:t>
      </w:r>
      <w:r>
        <w:t xml:space="preserve">zano wartość  wskaźnika nr </w:t>
      </w:r>
      <w:r w:rsidRPr="00A46409">
        <w:t>3. Jeżeli nie zmieniono całkowitego kosztu projektu w ostatnim kwartale, wartość musi być większa lub równa wartości wykazanej w poprzednim dniu raportowania.</w:t>
      </w:r>
    </w:p>
  </w:comment>
  <w:comment w:id="1" w:author="Justyna Frankowska" w:date="2022-07-15T11:31:00Z" w:initials="JF">
    <w:p w14:paraId="2CE731DC" w14:textId="2E9F4548" w:rsidR="00FD4D98" w:rsidRDefault="00FD4D98">
      <w:pPr>
        <w:pStyle w:val="Tekstkomentarza"/>
      </w:pPr>
      <w:r>
        <w:rPr>
          <w:rStyle w:val="Odwoaniedokomentarza"/>
        </w:rPr>
        <w:annotationRef/>
      </w:r>
      <w:proofErr w:type="spellStart"/>
      <w:r>
        <w:t>j.w</w:t>
      </w:r>
      <w:proofErr w:type="spellEnd"/>
      <w:r>
        <w:t>.</w:t>
      </w:r>
    </w:p>
  </w:comment>
  <w:comment w:id="2" w:author="Karczmarczyk Sylwia" w:date="2022-07-14T14:47:00Z" w:initials="KS">
    <w:p w14:paraId="0F0CFAEF" w14:textId="6F434EF1" w:rsidR="00A46409" w:rsidRDefault="00A46409">
      <w:pPr>
        <w:pStyle w:val="Tekstkomentarza"/>
      </w:pPr>
      <w:r>
        <w:rPr>
          <w:rStyle w:val="Odwoaniedokomentarza"/>
        </w:rPr>
        <w:annotationRef/>
      </w:r>
      <w:r>
        <w:t>Wartość powinna być równa lub większa wartości z poprzedniego kwartału</w:t>
      </w:r>
    </w:p>
  </w:comment>
  <w:comment w:id="3" w:author="Justyna Frankowska" w:date="2022-07-15T11:24:00Z" w:initials="JF">
    <w:p w14:paraId="693D39FB" w14:textId="692555B4" w:rsidR="00941C72" w:rsidRDefault="00941C72">
      <w:pPr>
        <w:pStyle w:val="Tekstkomentarza"/>
      </w:pPr>
      <w:r>
        <w:rPr>
          <w:rStyle w:val="Odwoaniedokomentarza"/>
        </w:rPr>
        <w:annotationRef/>
      </w:r>
      <w:r>
        <w:t>W poprzednim kwartale wartość środków ustalana była według ówczesnego stanu pobrania zaliczki</w:t>
      </w:r>
      <w:r w:rsidR="00FD4D98">
        <w:t xml:space="preserve"> na realizację zadań projektowych. Ze względu na fakt, że nie udało się jej całej wykorzystać, wartość środków wydatkowanych oraz zaangażowanych uległa zmniejszeniu. W chwili obecnej Beneficjent przygotowuje dokumentacje do złożenia wniosku rozliczającego zaliczkę.</w:t>
      </w:r>
    </w:p>
  </w:comment>
  <w:comment w:id="4" w:author="Karczmarczyk Sylwia" w:date="2022-07-14T14:47:00Z" w:initials="KS">
    <w:p w14:paraId="04385F14" w14:textId="51C597C4" w:rsidR="00A46409" w:rsidRDefault="00A46409">
      <w:pPr>
        <w:pStyle w:val="Tekstkomentarza"/>
      </w:pPr>
      <w:r>
        <w:rPr>
          <w:rStyle w:val="Odwoaniedokomentarza"/>
        </w:rPr>
        <w:annotationRef/>
      </w:r>
      <w:r>
        <w:t>Proszę o podanie przyczyn opóźnienia kamienia milowego</w:t>
      </w:r>
    </w:p>
  </w:comment>
  <w:comment w:id="5" w:author="Justyna Frankowska" w:date="2022-07-15T14:02:00Z" w:initials="JF">
    <w:p w14:paraId="05E4F0DE" w14:textId="2208A15E" w:rsidR="0091237B" w:rsidRDefault="0091237B">
      <w:pPr>
        <w:pStyle w:val="Tekstkomentarza"/>
      </w:pPr>
      <w:r>
        <w:rPr>
          <w:rStyle w:val="Odwoaniedokomentarza"/>
        </w:rPr>
        <w:annotationRef/>
      </w:r>
      <w:r>
        <w:t xml:space="preserve">Poprawiono datę ostateczną osiągnięcia kamienia milowego zgodnie z dokumentacją. Wcześniejsza data – 04.2022 była wprowadzona niepoprawnie – w raporcie zawarte są daty ostateczne, nie zaś planowane.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75BBE4" w15:done="0"/>
  <w15:commentEx w15:paraId="2CE731DC" w15:paraIdParent="1475BBE4" w15:done="0"/>
  <w15:commentEx w15:paraId="0F0CFAEF" w15:done="0"/>
  <w15:commentEx w15:paraId="693D39FB" w15:paraIdParent="0F0CFAEF" w15:done="0"/>
  <w15:commentEx w15:paraId="04385F14" w15:done="0"/>
  <w15:commentEx w15:paraId="05E4F0DE" w15:paraIdParent="04385F1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BCE96" w16cex:dateUtc="2022-07-15T09:31:00Z"/>
  <w16cex:commentExtensible w16cex:durableId="267BCCD4" w16cex:dateUtc="2022-07-15T09:24:00Z"/>
  <w16cex:commentExtensible w16cex:durableId="267BF1FE" w16cex:dateUtc="2022-07-15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75BBE4" w16cid:durableId="267BCCCF"/>
  <w16cid:commentId w16cid:paraId="2CE731DC" w16cid:durableId="267BCE96"/>
  <w16cid:commentId w16cid:paraId="0F0CFAEF" w16cid:durableId="267BCCD0"/>
  <w16cid:commentId w16cid:paraId="693D39FB" w16cid:durableId="267BCCD4"/>
  <w16cid:commentId w16cid:paraId="04385F14" w16cid:durableId="267BCCD1"/>
  <w16cid:commentId w16cid:paraId="05E4F0DE" w16cid:durableId="267BF1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08F03" w14:textId="77777777" w:rsidR="001104A6" w:rsidRDefault="001104A6" w:rsidP="00E3697A">
      <w:pPr>
        <w:spacing w:after="0" w:line="240" w:lineRule="auto"/>
      </w:pPr>
      <w:r>
        <w:separator/>
      </w:r>
    </w:p>
  </w:endnote>
  <w:endnote w:type="continuationSeparator" w:id="0">
    <w:p w14:paraId="20D4D126" w14:textId="77777777" w:rsidR="001104A6" w:rsidRDefault="001104A6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79CBC2" w14:textId="19FE5DE2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640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2B6F21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884AB" w14:textId="77777777" w:rsidR="001104A6" w:rsidRDefault="001104A6" w:rsidP="00E3697A">
      <w:pPr>
        <w:spacing w:after="0" w:line="240" w:lineRule="auto"/>
      </w:pPr>
      <w:r>
        <w:separator/>
      </w:r>
    </w:p>
  </w:footnote>
  <w:footnote w:type="continuationSeparator" w:id="0">
    <w:p w14:paraId="17F082F6" w14:textId="77777777" w:rsidR="001104A6" w:rsidRDefault="001104A6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5984379">
    <w:abstractNumId w:val="0"/>
  </w:num>
  <w:num w:numId="2" w16cid:durableId="14091151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rczmarczyk Sylwia">
    <w15:presenceInfo w15:providerId="AD" w15:userId="S-1-5-21-3954371645-834304607-549911658-73504"/>
  </w15:person>
  <w15:person w15:author="Justyna Frankowska">
    <w15:presenceInfo w15:providerId="Windows Live" w15:userId="2f578cc3a1adb2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97A"/>
    <w:rsid w:val="0003438E"/>
    <w:rsid w:val="0003779E"/>
    <w:rsid w:val="00065F2A"/>
    <w:rsid w:val="0008641A"/>
    <w:rsid w:val="000B6B03"/>
    <w:rsid w:val="000D368A"/>
    <w:rsid w:val="001104A6"/>
    <w:rsid w:val="00125F85"/>
    <w:rsid w:val="0018079F"/>
    <w:rsid w:val="001A5C02"/>
    <w:rsid w:val="001B36F7"/>
    <w:rsid w:val="002604D0"/>
    <w:rsid w:val="00262AFE"/>
    <w:rsid w:val="002756D6"/>
    <w:rsid w:val="00275BBD"/>
    <w:rsid w:val="002F18A7"/>
    <w:rsid w:val="00310608"/>
    <w:rsid w:val="003245DB"/>
    <w:rsid w:val="00365C38"/>
    <w:rsid w:val="003A4BAC"/>
    <w:rsid w:val="003A6A3B"/>
    <w:rsid w:val="003B3301"/>
    <w:rsid w:val="003D3D6B"/>
    <w:rsid w:val="00421937"/>
    <w:rsid w:val="00467AF6"/>
    <w:rsid w:val="004979D2"/>
    <w:rsid w:val="004B0B09"/>
    <w:rsid w:val="004B6819"/>
    <w:rsid w:val="004D5F79"/>
    <w:rsid w:val="004E1174"/>
    <w:rsid w:val="005078D0"/>
    <w:rsid w:val="005378DA"/>
    <w:rsid w:val="00541258"/>
    <w:rsid w:val="00555359"/>
    <w:rsid w:val="005A7B33"/>
    <w:rsid w:val="005B1B19"/>
    <w:rsid w:val="005B2169"/>
    <w:rsid w:val="005C4926"/>
    <w:rsid w:val="005D294D"/>
    <w:rsid w:val="005E5FB2"/>
    <w:rsid w:val="005E75A8"/>
    <w:rsid w:val="005F7665"/>
    <w:rsid w:val="00600479"/>
    <w:rsid w:val="006012CF"/>
    <w:rsid w:val="00630A0F"/>
    <w:rsid w:val="006665D3"/>
    <w:rsid w:val="006A2F55"/>
    <w:rsid w:val="00720724"/>
    <w:rsid w:val="00737D69"/>
    <w:rsid w:val="0078678D"/>
    <w:rsid w:val="007C7223"/>
    <w:rsid w:val="007D5253"/>
    <w:rsid w:val="007E788E"/>
    <w:rsid w:val="007F463C"/>
    <w:rsid w:val="00841CF9"/>
    <w:rsid w:val="008663D4"/>
    <w:rsid w:val="0091237B"/>
    <w:rsid w:val="00916B00"/>
    <w:rsid w:val="00941C72"/>
    <w:rsid w:val="00957B95"/>
    <w:rsid w:val="00973359"/>
    <w:rsid w:val="00976B4E"/>
    <w:rsid w:val="009A4FF8"/>
    <w:rsid w:val="009D2A29"/>
    <w:rsid w:val="009E3701"/>
    <w:rsid w:val="00A16163"/>
    <w:rsid w:val="00A34C2A"/>
    <w:rsid w:val="00A46409"/>
    <w:rsid w:val="00A70F27"/>
    <w:rsid w:val="00A85696"/>
    <w:rsid w:val="00AB06DD"/>
    <w:rsid w:val="00AC5B0E"/>
    <w:rsid w:val="00AC6D94"/>
    <w:rsid w:val="00AE1F89"/>
    <w:rsid w:val="00B20937"/>
    <w:rsid w:val="00B25940"/>
    <w:rsid w:val="00B73DFD"/>
    <w:rsid w:val="00B86EFB"/>
    <w:rsid w:val="00BB0403"/>
    <w:rsid w:val="00C60B92"/>
    <w:rsid w:val="00C9432D"/>
    <w:rsid w:val="00CA7DE5"/>
    <w:rsid w:val="00CB7721"/>
    <w:rsid w:val="00CC7C03"/>
    <w:rsid w:val="00D50952"/>
    <w:rsid w:val="00D9658D"/>
    <w:rsid w:val="00DD4BD6"/>
    <w:rsid w:val="00E03DFF"/>
    <w:rsid w:val="00E23AC1"/>
    <w:rsid w:val="00E262AF"/>
    <w:rsid w:val="00E32984"/>
    <w:rsid w:val="00E3697A"/>
    <w:rsid w:val="00E46500"/>
    <w:rsid w:val="00E657D9"/>
    <w:rsid w:val="00E663B8"/>
    <w:rsid w:val="00E76B5D"/>
    <w:rsid w:val="00EF18D0"/>
    <w:rsid w:val="00F10972"/>
    <w:rsid w:val="00F11B8E"/>
    <w:rsid w:val="00F21686"/>
    <w:rsid w:val="00F24780"/>
    <w:rsid w:val="00F271C5"/>
    <w:rsid w:val="00F32848"/>
    <w:rsid w:val="00F542A3"/>
    <w:rsid w:val="00FD191B"/>
    <w:rsid w:val="00FD201D"/>
    <w:rsid w:val="00FD4D98"/>
    <w:rsid w:val="00F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5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mailto:justyna_frankowska@pwm.com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iotr_chochol@pwm.com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mailto:karolina_kasperkiewicz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FE0BA-FB26-4CB3-A6BB-B12206B5C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1953</Words>
  <Characters>11722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Justyna Frankowska</cp:lastModifiedBy>
  <cp:revision>4</cp:revision>
  <dcterms:created xsi:type="dcterms:W3CDTF">2022-07-14T12:49:00Z</dcterms:created>
  <dcterms:modified xsi:type="dcterms:W3CDTF">2022-07-15T12:09:00Z</dcterms:modified>
</cp:coreProperties>
</file>